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48" w:rsidRPr="00D43372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:rsidR="007D5748" w:rsidRPr="00D43372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E963A3" w:rsidRPr="00D43372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D43372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D43372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:rsidR="00E963A3" w:rsidRPr="00D43372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7D5748" w:rsidRPr="00D43372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1231"/>
        <w:gridCol w:w="3696"/>
      </w:tblGrid>
      <w:tr w:rsidR="00D43372" w:rsidRPr="00D43372" w:rsidTr="00176EF6">
        <w:trPr>
          <w:cantSplit/>
          <w:trHeight w:val="195"/>
          <w:jc w:val="center"/>
        </w:trPr>
        <w:tc>
          <w:tcPr>
            <w:tcW w:w="4531" w:type="dxa"/>
            <w:vMerge w:val="restart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4927" w:type="dxa"/>
            <w:gridSpan w:val="2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176EF6" w:rsidRPr="00D43372" w:rsidTr="00176EF6">
        <w:trPr>
          <w:cantSplit/>
          <w:trHeight w:val="70"/>
          <w:jc w:val="center"/>
        </w:trPr>
        <w:tc>
          <w:tcPr>
            <w:tcW w:w="4531" w:type="dxa"/>
            <w:vMerge/>
            <w:shd w:val="clear" w:color="auto" w:fill="BFBFBF" w:themeFill="background1" w:themeFillShade="BF"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31" w:type="dxa"/>
            <w:shd w:val="clear" w:color="auto" w:fill="BFBFBF" w:themeFill="background1" w:themeFillShade="BF"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3696" w:type="dxa"/>
            <w:shd w:val="clear" w:color="auto" w:fill="BFBFBF" w:themeFill="background1" w:themeFillShade="BF"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9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-2022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shd w:val="clear" w:color="auto" w:fill="C0C0C0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231" w:type="dxa"/>
            <w:shd w:val="clear" w:color="auto" w:fill="C0C0C0"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shd w:val="clear" w:color="auto" w:fill="C0C0C0"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32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shd w:val="clear" w:color="auto" w:fill="C0C0C0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231" w:type="dxa"/>
            <w:shd w:val="clear" w:color="auto" w:fill="C0C0C0"/>
            <w:noWrap/>
            <w:vAlign w:val="center"/>
          </w:tcPr>
          <w:p w:rsidR="00176EF6" w:rsidRPr="00D43372" w:rsidRDefault="00807CF7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1 </w:t>
            </w:r>
            <w:r w:rsidR="00032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78</w:t>
            </w:r>
            <w:r w:rsidR="00176EF6"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696" w:type="dxa"/>
            <w:shd w:val="clear" w:color="auto" w:fill="C0C0C0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3 012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000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ÚV SR/06P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753 000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3 012</w:t>
            </w: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000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 tom: MF SR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032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</w:t>
            </w:r>
            <w:r w:rsidR="0003290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0 000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0 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1 </w:t>
            </w:r>
            <w:r w:rsidR="000329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78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3 012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000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032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1 </w:t>
            </w: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7</w:t>
            </w:r>
            <w:r w:rsidR="0003290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8</w:t>
            </w: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3 012</w:t>
            </w: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000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125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231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231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shd w:val="clear" w:color="auto" w:fill="C0C0C0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231" w:type="dxa"/>
            <w:shd w:val="clear" w:color="auto" w:fill="C0C0C0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1 </w:t>
            </w:r>
            <w:r w:rsidR="00032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78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696" w:type="dxa"/>
            <w:shd w:val="clear" w:color="auto" w:fill="C0C0C0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3 012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000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VPS</w:t>
            </w:r>
          </w:p>
        </w:tc>
        <w:tc>
          <w:tcPr>
            <w:tcW w:w="1231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1 </w:t>
            </w:r>
            <w:r w:rsidR="000329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78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696" w:type="dxa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3 012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000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231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shd w:val="clear" w:color="auto" w:fill="BFBFBF" w:themeFill="background1" w:themeFillShade="BF"/>
            <w:noWrap/>
            <w:vAlign w:val="center"/>
          </w:tcPr>
          <w:p w:rsidR="00176EF6" w:rsidRPr="00D43372" w:rsidRDefault="00176EF6" w:rsidP="00D87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176EF6" w:rsidRPr="00D43372" w:rsidTr="00176EF6">
        <w:trPr>
          <w:trHeight w:val="70"/>
          <w:jc w:val="center"/>
        </w:trPr>
        <w:tc>
          <w:tcPr>
            <w:tcW w:w="4531" w:type="dxa"/>
            <w:shd w:val="clear" w:color="auto" w:fill="A6A6A6" w:themeFill="background1" w:themeFillShade="A6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231" w:type="dxa"/>
            <w:shd w:val="clear" w:color="auto" w:fill="A6A6A6" w:themeFill="background1" w:themeFillShade="A6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696" w:type="dxa"/>
            <w:shd w:val="clear" w:color="auto" w:fill="A6A6A6" w:themeFill="background1" w:themeFillShade="A6"/>
            <w:noWrap/>
            <w:vAlign w:val="center"/>
          </w:tcPr>
          <w:p w:rsidR="00176EF6" w:rsidRPr="00D43372" w:rsidRDefault="00176EF6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bookmarkEnd w:id="0"/>
    </w:tbl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D43372" w:rsidRDefault="00E963A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br w:type="page"/>
      </w:r>
    </w:p>
    <w:p w:rsidR="007D5748" w:rsidRPr="00D43372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7D5748" w:rsidRPr="00D43372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930B6E" w:rsidRPr="00D43372" w:rsidRDefault="00930B6E" w:rsidP="00EE2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EE2A93" w:rsidRPr="00D43372" w:rsidRDefault="001A7F54" w:rsidP="00EE2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Predkladaný </w:t>
      </w:r>
      <w:r w:rsidRPr="00D43372">
        <w:rPr>
          <w:rFonts w:ascii="Times New Roman" w:hAnsi="Times New Roman" w:cs="Times New Roman"/>
          <w:sz w:val="24"/>
        </w:rPr>
        <w:t xml:space="preserve">materiál bude mať pozitívne aj negatívne vplyvy na rozpočet verejnej správy. Prípadné výdavky súvisiace s vypracovaním Akčného plánu a jeho monitorovaním, činnosťou Rady pre rozvoj okresu </w:t>
      </w:r>
      <w:r w:rsidR="00D8754A" w:rsidRPr="00D43372">
        <w:rPr>
          <w:rFonts w:ascii="Times New Roman" w:hAnsi="Times New Roman" w:cs="Times New Roman"/>
          <w:sz w:val="24"/>
        </w:rPr>
        <w:t>Bardejov</w:t>
      </w:r>
      <w:r w:rsidRPr="00D43372">
        <w:rPr>
          <w:rFonts w:ascii="Times New Roman" w:hAnsi="Times New Roman" w:cs="Times New Roman"/>
          <w:sz w:val="24"/>
        </w:rPr>
        <w:t xml:space="preserve">, poskytovaním podpory, ako aj investičnej pomoci budú zabezpečené v rámci schválených limitov dotknutých kapitol ministerstiev na príslušný rozpočtový rok. Ďalšie náklady budú vykryté zo súkromných zdrojov a vlastnými aktivitami subjektov územnej spolupráce a podnikateľského sektora pri využití zvýhodnených podmienok pri získavaní finančných prostriedkov z EŠIF. Výrazné pozitívne efekty sa predpokladajú najmä na strane príjmov štátneho rozpočtu plynúcich z tvorby nových pracovných miest a podpory realizácie investícií v prípade priemyselnej výroby, poľnohospodárstva a cestovného ruchu. Pôjde predovšetkým o príjmy z priamych daní a nepriamych daní. Pozitívny vplyv na hospodársky rast Slovenskej republiky, pozitívny vplyv na zamestnanosť v regiónoch s najvyššou mierou nezamestnanosti, t. j. v najmenej rozvinutých regiónoch. Zároveň v spojitosti s nárastom zamestnanosti možno očakávať pozitívny vplyv na rozpočet v podobe poklesu výdavkov na podporu sociálne odkázaných domácností v okrese </w:t>
      </w:r>
      <w:r w:rsidR="00D8754A" w:rsidRPr="00D43372">
        <w:rPr>
          <w:rFonts w:ascii="Times New Roman" w:hAnsi="Times New Roman" w:cs="Times New Roman"/>
          <w:sz w:val="24"/>
        </w:rPr>
        <w:t>Bardejov</w:t>
      </w:r>
      <w:r w:rsidRPr="00D43372">
        <w:rPr>
          <w:rFonts w:ascii="Times New Roman" w:hAnsi="Times New Roman" w:cs="Times New Roman"/>
          <w:sz w:val="24"/>
        </w:rPr>
        <w:t>.</w:t>
      </w:r>
      <w:r w:rsidRPr="00D43372">
        <w:rPr>
          <w:sz w:val="24"/>
        </w:rPr>
        <w:t xml:space="preserve"> </w:t>
      </w:r>
    </w:p>
    <w:p w:rsidR="00EE2A93" w:rsidRPr="00F53FC5" w:rsidRDefault="001A7F54" w:rsidP="00F53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Predpokladaná výška verejných </w:t>
      </w:r>
      <w:r w:rsidRPr="00D43372">
        <w:rPr>
          <w:rFonts w:ascii="Times New Roman" w:hAnsi="Times New Roman" w:cs="Times New Roman"/>
          <w:sz w:val="24"/>
        </w:rPr>
        <w:t xml:space="preserve">financií na zabezpečenie opatrení Akčného plánu predstavuje čiastku cca </w:t>
      </w:r>
      <w:r w:rsidR="002D5F6B" w:rsidRPr="00D43372">
        <w:rPr>
          <w:rFonts w:ascii="Times New Roman" w:hAnsi="Times New Roman" w:cs="Times New Roman"/>
          <w:sz w:val="24"/>
        </w:rPr>
        <w:t>94</w:t>
      </w:r>
      <w:r w:rsidRPr="00D43372">
        <w:rPr>
          <w:rFonts w:ascii="Times New Roman" w:hAnsi="Times New Roman" w:cs="Times New Roman"/>
          <w:sz w:val="24"/>
        </w:rPr>
        <w:t xml:space="preserve"> mil. EUR. Uvedené výdavky nie je možné jednoznačne kvantifikovať podľa dotknutých subjektov verejnej správy, zdrojov krytia a programov. Rozdelenie výdavkov, podľa predchádzajúcej vety, bude možné detailnejšie špecifikovať až v rámci procesu realizácie </w:t>
      </w:r>
      <w:r w:rsidRPr="00D43372">
        <w:rPr>
          <w:rFonts w:ascii="Times New Roman" w:hAnsi="Times New Roman" w:cs="Times New Roman"/>
          <w:sz w:val="24"/>
          <w:szCs w:val="24"/>
        </w:rPr>
        <w:t>jednotlivých opatrení Akčného plánu. Negatívne vplyvy budú predstavovať výdavky štátneho rozpočtu súvisiace s poskytnutím regionálneho príspevku prostredníctvom rozpočtovej k</w:t>
      </w:r>
      <w:r w:rsidR="00745FF2" w:rsidRPr="00D43372">
        <w:rPr>
          <w:rFonts w:ascii="Times New Roman" w:hAnsi="Times New Roman" w:cs="Times New Roman"/>
          <w:sz w:val="24"/>
          <w:szCs w:val="24"/>
        </w:rPr>
        <w:t xml:space="preserve">apitoly ÚV SR v celkovej výške </w:t>
      </w:r>
      <w:r w:rsidR="00D8754A" w:rsidRPr="00D43372">
        <w:rPr>
          <w:rFonts w:ascii="Times New Roman" w:hAnsi="Times New Roman" w:cs="Times New Roman"/>
          <w:sz w:val="24"/>
          <w:szCs w:val="24"/>
        </w:rPr>
        <w:t>3,765 milióna EUR v období rokov 2018 – 2022, z</w:t>
      </w:r>
      <w:r w:rsidR="00176EF6">
        <w:rPr>
          <w:rFonts w:ascii="Times New Roman" w:hAnsi="Times New Roman" w:cs="Times New Roman"/>
          <w:sz w:val="24"/>
          <w:szCs w:val="24"/>
        </w:rPr>
        <w:t xml:space="preserve"> toho 753 tis. EUR v roku 2018 </w:t>
      </w:r>
      <w:r w:rsidR="00D8754A" w:rsidRPr="00D43372">
        <w:rPr>
          <w:rFonts w:ascii="Times New Roman" w:hAnsi="Times New Roman" w:cs="Times New Roman"/>
          <w:sz w:val="24"/>
          <w:szCs w:val="24"/>
        </w:rPr>
        <w:t>a</w:t>
      </w:r>
      <w:r w:rsidR="00176EF6">
        <w:rPr>
          <w:rFonts w:ascii="Times New Roman" w:hAnsi="Times New Roman" w:cs="Times New Roman"/>
          <w:sz w:val="24"/>
          <w:szCs w:val="24"/>
        </w:rPr>
        <w:t> 3 012 tis. EUR v rokoch 2019</w:t>
      </w:r>
      <w:r w:rsidRPr="00D43372">
        <w:rPr>
          <w:rFonts w:ascii="Times New Roman" w:hAnsi="Times New Roman" w:cs="Times New Roman"/>
          <w:sz w:val="24"/>
          <w:szCs w:val="24"/>
        </w:rPr>
        <w:t xml:space="preserve"> </w:t>
      </w:r>
      <w:r w:rsidR="00BD285D">
        <w:rPr>
          <w:rFonts w:ascii="Times New Roman" w:hAnsi="Times New Roman" w:cs="Times New Roman"/>
          <w:sz w:val="24"/>
          <w:szCs w:val="24"/>
        </w:rPr>
        <w:t>–</w:t>
      </w:r>
      <w:r w:rsidRPr="00D43372">
        <w:rPr>
          <w:rFonts w:ascii="Times New Roman" w:hAnsi="Times New Roman" w:cs="Times New Roman"/>
          <w:sz w:val="24"/>
          <w:szCs w:val="24"/>
        </w:rPr>
        <w:t xml:space="preserve"> 2022</w:t>
      </w:r>
      <w:r w:rsidR="00BD285D">
        <w:rPr>
          <w:rFonts w:ascii="Times New Roman" w:hAnsi="Times New Roman" w:cs="Times New Roman"/>
          <w:sz w:val="24"/>
          <w:szCs w:val="24"/>
        </w:rPr>
        <w:t xml:space="preserve"> </w:t>
      </w:r>
      <w:r w:rsidR="00F53FC5" w:rsidRPr="00F53FC5">
        <w:rPr>
          <w:rFonts w:ascii="Times New Roman" w:hAnsi="Times New Roman" w:cs="Times New Roman"/>
          <w:sz w:val="24"/>
          <w:szCs w:val="24"/>
        </w:rPr>
        <w:t>a s poskytnutím finančných prostriedkov zo zdrojov kapitoly Všeobecná pokladničná správa v celkovej výške 1</w:t>
      </w:r>
      <w:r w:rsidR="0003290D">
        <w:rPr>
          <w:rFonts w:ascii="Times New Roman" w:hAnsi="Times New Roman" w:cs="Times New Roman"/>
          <w:sz w:val="24"/>
          <w:szCs w:val="24"/>
        </w:rPr>
        <w:t> 030 000,-</w:t>
      </w:r>
      <w:r w:rsidR="00F53FC5" w:rsidRPr="00F53FC5">
        <w:rPr>
          <w:rFonts w:ascii="Times New Roman" w:hAnsi="Times New Roman" w:cs="Times New Roman"/>
          <w:sz w:val="24"/>
          <w:szCs w:val="24"/>
        </w:rPr>
        <w:t xml:space="preserve"> eur v roku 2018, ktoré sú rozpočtované v rámci schválených limitov výdavkov rozpočtu verejnej správy (VPS).</w:t>
      </w:r>
    </w:p>
    <w:p w:rsidR="00EE2A93" w:rsidRPr="00D43372" w:rsidRDefault="00EE2A93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930B6E" w:rsidRPr="00D43372" w:rsidRDefault="00930B6E" w:rsidP="00EE2A9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sk-SK"/>
        </w:rPr>
      </w:pPr>
    </w:p>
    <w:p w:rsidR="007D5748" w:rsidRDefault="003202DE" w:rsidP="00176EF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>Cieľom predkladaného návrhu A</w:t>
      </w:r>
      <w:r w:rsidR="00EE2A93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>kčného plánu je prostredníctvom stanovených systémových opatrení a kľúčovýc</w:t>
      </w:r>
      <w:r w:rsidR="001A7F54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>h aktivít dosiahnuť do roku 2022</w:t>
      </w:r>
      <w:r w:rsidR="00EE2A93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 zníženie nezamestnanosti v okrese </w:t>
      </w:r>
      <w:r w:rsidR="00D43372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>Bardejov</w:t>
      </w:r>
      <w:r w:rsidR="00EE2A93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 vytvorením </w:t>
      </w:r>
      <w:r w:rsidR="003E6ACF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>cca</w:t>
      </w:r>
      <w:r w:rsidR="00867CA8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 </w:t>
      </w:r>
      <w:r w:rsidR="00D8754A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>1370</w:t>
      </w:r>
      <w:r w:rsidR="00745FF2" w:rsidRPr="00D43372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 </w:t>
      </w:r>
      <w:r w:rsidR="00176EF6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pracovných miest. </w:t>
      </w:r>
    </w:p>
    <w:p w:rsidR="00176EF6" w:rsidRPr="00D43372" w:rsidRDefault="00176EF6" w:rsidP="00176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7D5748" w:rsidRPr="00D43372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E2A93" w:rsidRPr="00D43372" w:rsidRDefault="00EE2A93" w:rsidP="00EE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/>
          <w:sz w:val="24"/>
          <w:szCs w:val="24"/>
          <w:lang w:eastAsia="sk-SK"/>
        </w:rPr>
        <w:t>Návrh rieši sociálne, ekonomické a environmentálne ciele – dosiahnutie zníženia nezamestnanosti (odbremenenie štátneho rozpočtu o výdavky pre nezamestnaných), vytvorenia nových, prípadne podpory existujúcich podnikateľských subjektov (fungujúce podniky prispievajú do ŠR daň</w:t>
      </w:r>
      <w:r w:rsidR="00EC2BC6">
        <w:rPr>
          <w:rFonts w:ascii="Times New Roman" w:eastAsia="Times New Roman" w:hAnsi="Times New Roman"/>
          <w:sz w:val="24"/>
          <w:szCs w:val="24"/>
          <w:lang w:eastAsia="sk-SK"/>
        </w:rPr>
        <w:t>ami, poskytujú prácu).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D43372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lastRenderedPageBreak/>
        <w:t xml:space="preserve">     </w:t>
      </w: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</w:t>
      </w:r>
      <w:r w:rsidR="00EE2A93" w:rsidRPr="00D43372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>x</w:t>
      </w:r>
      <w:r w:rsidRPr="00D43372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</w:t>
      </w: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:rsidR="007D5748" w:rsidRPr="00D43372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D43372" w:rsidRPr="00D43372" w:rsidTr="007B71A4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D43372" w:rsidRPr="00D43372" w:rsidTr="007B71A4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</w:tr>
      <w:tr w:rsidR="00D43372" w:rsidRPr="00D43372" w:rsidTr="007B71A4">
        <w:trPr>
          <w:trHeight w:val="70"/>
        </w:trPr>
        <w:tc>
          <w:tcPr>
            <w:tcW w:w="4530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43372" w:rsidRPr="00D43372" w:rsidTr="007B71A4">
        <w:trPr>
          <w:trHeight w:val="70"/>
        </w:trPr>
        <w:tc>
          <w:tcPr>
            <w:tcW w:w="4530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D43372" w:rsidTr="007B71A4">
        <w:trPr>
          <w:trHeight w:val="70"/>
        </w:trPr>
        <w:tc>
          <w:tcPr>
            <w:tcW w:w="4530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D43372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:rsidR="007D5748" w:rsidRPr="00D43372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D43372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7D5748" w:rsidRPr="00D43372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30B6E" w:rsidRPr="00D43372" w:rsidRDefault="00930B6E" w:rsidP="00EE2A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1A7F54" w:rsidRPr="00D43372" w:rsidRDefault="001A7F54" w:rsidP="00AC47A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Predkladaný </w:t>
      </w:r>
      <w:r w:rsidRPr="00D43372">
        <w:rPr>
          <w:rFonts w:ascii="Times New Roman" w:hAnsi="Times New Roman" w:cs="Times New Roman"/>
          <w:sz w:val="24"/>
        </w:rPr>
        <w:t xml:space="preserve">materiál bude mať pozitívne aj negatívne vplyvy na rozpočet verejnej správy. Prípadné výdavky súvisiace s vypracovaním Akčného plánu a jeho monitorovaním, činnosťou Rady pre rozvoj okresu </w:t>
      </w:r>
      <w:r w:rsidR="00D8754A" w:rsidRPr="00D43372">
        <w:rPr>
          <w:rFonts w:ascii="Times New Roman" w:hAnsi="Times New Roman" w:cs="Times New Roman"/>
          <w:sz w:val="24"/>
        </w:rPr>
        <w:t>Bardejov</w:t>
      </w:r>
      <w:r w:rsidRPr="00D43372">
        <w:rPr>
          <w:rFonts w:ascii="Times New Roman" w:hAnsi="Times New Roman" w:cs="Times New Roman"/>
          <w:sz w:val="24"/>
        </w:rPr>
        <w:t xml:space="preserve">, poskytovaním podpory, ako aj investičnej pomoci budú zabezpečené v rámci schválených limitov dotknutých kapitol ministerstiev na príslušný rozpočtový rok. Ďalšie náklady budú vykryté zo súkromných zdrojov a vlastnými aktivitami subjektov územnej spolupráce a podnikateľského sektora pri využití zvýhodnených podmienok pri získavaní finančných prostriedkov z EŠIF. Výrazné pozitívne efekty sa predpokladajú najmä na strane príjmov štátneho rozpočtu plynúcich z tvorby nových pracovných miest a podpory realizácie investícií v prípade priemyselnej výroby, poľnohospodárstva a cestovného ruchu. Pôjde predovšetkým o príjmy z priamych daní a nepriamych daní. Pozitívny vplyv na hospodársky rast Slovenskej republiky, pozitívny vplyv na zamestnanosť v regiónoch s najvyššou mierou nezamestnanosti, t. j. v najmenej rozvinutých regiónoch. Zároveň v spojitosti s nárastom zamestnanosti možno očakávať pozitívny vplyv na rozpočet v podobe poklesu výdavkov na podporu sociálne odkázaných domácností v okrese </w:t>
      </w:r>
      <w:r w:rsidR="00D8754A" w:rsidRPr="00D43372">
        <w:rPr>
          <w:rFonts w:ascii="Times New Roman" w:hAnsi="Times New Roman" w:cs="Times New Roman"/>
          <w:sz w:val="24"/>
        </w:rPr>
        <w:t>Bardejov</w:t>
      </w:r>
      <w:r w:rsidRPr="00D43372">
        <w:rPr>
          <w:rFonts w:ascii="Times New Roman" w:hAnsi="Times New Roman" w:cs="Times New Roman"/>
          <w:sz w:val="24"/>
        </w:rPr>
        <w:t>.</w:t>
      </w:r>
      <w:r w:rsidRPr="00D43372">
        <w:rPr>
          <w:sz w:val="24"/>
        </w:rPr>
        <w:t xml:space="preserve"> </w:t>
      </w:r>
    </w:p>
    <w:p w:rsidR="00BD285D" w:rsidRDefault="001A7F54" w:rsidP="00D118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Predpokladaná výška verejných </w:t>
      </w:r>
      <w:r w:rsidRPr="00D43372">
        <w:rPr>
          <w:rFonts w:ascii="Times New Roman" w:hAnsi="Times New Roman" w:cs="Times New Roman"/>
          <w:sz w:val="24"/>
        </w:rPr>
        <w:t xml:space="preserve">financií na zabezpečenie opatrení Akčného plánu predstavuje čiastku cca </w:t>
      </w:r>
      <w:r w:rsidR="002D5F6B" w:rsidRPr="00D43372">
        <w:rPr>
          <w:rFonts w:ascii="Times New Roman" w:hAnsi="Times New Roman" w:cs="Times New Roman"/>
          <w:sz w:val="24"/>
        </w:rPr>
        <w:t>94</w:t>
      </w:r>
      <w:r w:rsidRPr="00D43372">
        <w:rPr>
          <w:rFonts w:ascii="Times New Roman" w:hAnsi="Times New Roman" w:cs="Times New Roman"/>
          <w:sz w:val="24"/>
        </w:rPr>
        <w:t xml:space="preserve"> mil. EUR. Uvedené výdavky nie je možné jednoznačne kvantifikovať podľa dotknutých subjektov verejnej správy, zdrojov krytia a programov. Rozdelenie výdavkov, podľa predchádzajúcej vety, bude možné detailnejšie špecifikovať až v rámci procesu realizácie jednotlivých opatrení Akčného plánu. </w:t>
      </w:r>
    </w:p>
    <w:p w:rsidR="00BD285D" w:rsidRPr="00F53FC5" w:rsidRDefault="00BD285D" w:rsidP="00F53F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372">
        <w:rPr>
          <w:rFonts w:ascii="Times New Roman" w:hAnsi="Times New Roman" w:cs="Times New Roman"/>
          <w:sz w:val="24"/>
          <w:szCs w:val="24"/>
        </w:rPr>
        <w:t>Negatívne vplyvy budú predstavovať výdavky štátneho rozpočtu súvisiace s poskytnutím regionálneho príspevku prostredníctvom rozpočtovej kapitoly ÚV SR v celkovej výške 3,765 milióna EUR v období rokov 2018 – 2022, z</w:t>
      </w:r>
      <w:r>
        <w:rPr>
          <w:rFonts w:ascii="Times New Roman" w:hAnsi="Times New Roman" w:cs="Times New Roman"/>
          <w:sz w:val="24"/>
          <w:szCs w:val="24"/>
        </w:rPr>
        <w:t xml:space="preserve"> toho 753 tis. EUR v roku 2018 </w:t>
      </w:r>
      <w:r w:rsidRPr="00D4337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 3 012 tis. EUR v rokoch 2019</w:t>
      </w:r>
      <w:r w:rsidRPr="00D433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43372">
        <w:rPr>
          <w:rFonts w:ascii="Times New Roman" w:hAnsi="Times New Roman" w:cs="Times New Roman"/>
          <w:sz w:val="24"/>
          <w:szCs w:val="24"/>
        </w:rPr>
        <w:t xml:space="preserve">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3FC5" w:rsidRPr="00F53FC5">
        <w:rPr>
          <w:rFonts w:ascii="Times New Roman" w:hAnsi="Times New Roman" w:cs="Times New Roman"/>
          <w:sz w:val="24"/>
          <w:szCs w:val="24"/>
        </w:rPr>
        <w:t>a s poskytnutím finančných prostriedkov zo zdrojov kapitoly Všeobecná pokladničná správa v celkovej výške 1</w:t>
      </w:r>
      <w:r w:rsidR="0003290D">
        <w:rPr>
          <w:rFonts w:ascii="Times New Roman" w:hAnsi="Times New Roman" w:cs="Times New Roman"/>
          <w:sz w:val="24"/>
          <w:szCs w:val="24"/>
        </w:rPr>
        <w:t> 030 000,-</w:t>
      </w:r>
      <w:r w:rsidR="00F53FC5" w:rsidRPr="00F53FC5">
        <w:rPr>
          <w:rFonts w:ascii="Times New Roman" w:hAnsi="Times New Roman" w:cs="Times New Roman"/>
          <w:sz w:val="24"/>
          <w:szCs w:val="24"/>
        </w:rPr>
        <w:t xml:space="preserve"> eur v roku 2018, ktoré sú rozpočtované v rámci schválených limitov výdavkov rozpočtu verejnej správy (VPS).</w:t>
      </w:r>
    </w:p>
    <w:p w:rsidR="00BD285D" w:rsidRDefault="00BD285D" w:rsidP="00D118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7D5748" w:rsidRPr="00D43372" w:rsidSect="00EB59C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D43372" w:rsidRPr="00D43372" w:rsidTr="007B71A4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D43372" w:rsidRPr="00D43372" w:rsidTr="007B71A4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D43372" w:rsidRPr="00D43372" w:rsidTr="007B71A4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4 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3131"/>
        <w:gridCol w:w="3029"/>
        <w:gridCol w:w="2220"/>
      </w:tblGrid>
      <w:tr w:rsidR="00D43372" w:rsidRPr="00D43372" w:rsidTr="007B71A4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BD285D" w:rsidRPr="00D43372" w:rsidTr="00BD285D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285D" w:rsidRPr="00D43372" w:rsidRDefault="00BD285D" w:rsidP="00EE2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285D" w:rsidRPr="00D43372" w:rsidRDefault="00BD285D" w:rsidP="00EE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285D" w:rsidRPr="00D43372" w:rsidRDefault="00BD285D" w:rsidP="00EE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9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–2022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85D" w:rsidRPr="00D43372" w:rsidRDefault="00BD285D" w:rsidP="00EE2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350 000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1 4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00 000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350 000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1 4</w:t>
            </w: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00 000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D43372">
              <w:t xml:space="preserve"> </w:t>
            </w: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1 </w:t>
            </w:r>
            <w:r w:rsidR="00032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43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1 612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D433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1 </w:t>
            </w:r>
            <w:r w:rsidR="0003290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43</w:t>
            </w: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BD2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1 612</w:t>
            </w: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000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70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D285D" w:rsidRPr="00D43372" w:rsidTr="00BD285D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1 </w:t>
            </w:r>
            <w:r w:rsidR="000329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78</w:t>
            </w:r>
            <w:bookmarkStart w:id="1" w:name="_GoBack"/>
            <w:bookmarkEnd w:id="1"/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3 000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285D" w:rsidRPr="00D43372" w:rsidRDefault="00BD285D" w:rsidP="00D87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3 012</w:t>
            </w: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000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D285D" w:rsidRPr="00D43372" w:rsidRDefault="00BD285D" w:rsidP="00D87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D4337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Tabuľka č. 5 </w:t>
      </w:r>
    </w:p>
    <w:p w:rsidR="007D5748" w:rsidRPr="00D43372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W w:w="1543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698"/>
        <w:gridCol w:w="1722"/>
        <w:gridCol w:w="630"/>
        <w:gridCol w:w="990"/>
      </w:tblGrid>
      <w:tr w:rsidR="00D43372" w:rsidRPr="00D43372" w:rsidTr="007B71A4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D43372" w:rsidRPr="00D43372" w:rsidTr="007B71A4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D43372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43372" w:rsidRPr="00D43372" w:rsidTr="007B71A4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Poznámky: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43372" w:rsidRPr="00D43372" w:rsidTr="007B71A4">
        <w:trPr>
          <w:trHeight w:val="255"/>
        </w:trPr>
        <w:tc>
          <w:tcPr>
            <w:tcW w:w="1381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D5748" w:rsidRPr="00D43372" w:rsidRDefault="007D5748" w:rsidP="007D5748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D43372" w:rsidRPr="00D43372" w:rsidTr="007B71A4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433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D43372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B3623" w:rsidRPr="00D43372" w:rsidRDefault="00CB3623" w:rsidP="00BD285D"/>
    <w:sectPr w:rsidR="00CB3623" w:rsidRPr="00D43372" w:rsidSect="00BD285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771" w:rsidRDefault="001F5771">
      <w:pPr>
        <w:spacing w:after="0" w:line="240" w:lineRule="auto"/>
      </w:pPr>
      <w:r>
        <w:separator/>
      </w:r>
    </w:p>
  </w:endnote>
  <w:endnote w:type="continuationSeparator" w:id="0">
    <w:p w:rsidR="001F5771" w:rsidRDefault="001F5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748" w:rsidRDefault="007D5748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7D5748" w:rsidRDefault="007D5748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748" w:rsidRDefault="007D574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03290D">
      <w:rPr>
        <w:noProof/>
      </w:rPr>
      <w:t>6</w:t>
    </w:r>
    <w:r>
      <w:fldChar w:fldCharType="end"/>
    </w:r>
  </w:p>
  <w:p w:rsidR="007D5748" w:rsidRDefault="007D5748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748" w:rsidRDefault="007D574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7D5748" w:rsidRDefault="007D57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771" w:rsidRDefault="001F5771">
      <w:pPr>
        <w:spacing w:after="0" w:line="240" w:lineRule="auto"/>
      </w:pPr>
      <w:r>
        <w:separator/>
      </w:r>
    </w:p>
  </w:footnote>
  <w:footnote w:type="continuationSeparator" w:id="0">
    <w:p w:rsidR="001F5771" w:rsidRDefault="001F5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748" w:rsidRDefault="007D5748" w:rsidP="00EB59C8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7D5748" w:rsidRPr="00EB59C8" w:rsidRDefault="007D5748" w:rsidP="00EB59C8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748" w:rsidRPr="0024067A" w:rsidRDefault="007D5748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748" w:rsidRPr="000A15AE" w:rsidRDefault="007D5748" w:rsidP="000A15AE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EC"/>
    <w:rsid w:val="0003290D"/>
    <w:rsid w:val="00035EB6"/>
    <w:rsid w:val="00057135"/>
    <w:rsid w:val="000C6D1E"/>
    <w:rsid w:val="001127A8"/>
    <w:rsid w:val="00170D2B"/>
    <w:rsid w:val="00176EF6"/>
    <w:rsid w:val="001947F4"/>
    <w:rsid w:val="001A3E24"/>
    <w:rsid w:val="001A7F54"/>
    <w:rsid w:val="001F5771"/>
    <w:rsid w:val="00200898"/>
    <w:rsid w:val="00212894"/>
    <w:rsid w:val="002D5F6B"/>
    <w:rsid w:val="002F2412"/>
    <w:rsid w:val="00317B90"/>
    <w:rsid w:val="003202DE"/>
    <w:rsid w:val="003525CE"/>
    <w:rsid w:val="003E6ACF"/>
    <w:rsid w:val="00487203"/>
    <w:rsid w:val="005005EC"/>
    <w:rsid w:val="005145DA"/>
    <w:rsid w:val="00571089"/>
    <w:rsid w:val="005E1207"/>
    <w:rsid w:val="007246BD"/>
    <w:rsid w:val="00745FF2"/>
    <w:rsid w:val="007D5748"/>
    <w:rsid w:val="00807CF7"/>
    <w:rsid w:val="00867CA8"/>
    <w:rsid w:val="008B3EE6"/>
    <w:rsid w:val="008D339D"/>
    <w:rsid w:val="008D7914"/>
    <w:rsid w:val="008E2736"/>
    <w:rsid w:val="00930B6E"/>
    <w:rsid w:val="009706B7"/>
    <w:rsid w:val="00970D3F"/>
    <w:rsid w:val="009C0D3F"/>
    <w:rsid w:val="00A14EA3"/>
    <w:rsid w:val="00AC47AB"/>
    <w:rsid w:val="00AD566E"/>
    <w:rsid w:val="00B017BC"/>
    <w:rsid w:val="00B039B4"/>
    <w:rsid w:val="00B5535C"/>
    <w:rsid w:val="00BD285D"/>
    <w:rsid w:val="00C15212"/>
    <w:rsid w:val="00C51FD4"/>
    <w:rsid w:val="00CB3623"/>
    <w:rsid w:val="00CE299A"/>
    <w:rsid w:val="00D11872"/>
    <w:rsid w:val="00D34825"/>
    <w:rsid w:val="00D43372"/>
    <w:rsid w:val="00D4510A"/>
    <w:rsid w:val="00D8754A"/>
    <w:rsid w:val="00DE5BF1"/>
    <w:rsid w:val="00E07CE9"/>
    <w:rsid w:val="00E963A3"/>
    <w:rsid w:val="00EA1E90"/>
    <w:rsid w:val="00EB43ED"/>
    <w:rsid w:val="00EC2BC6"/>
    <w:rsid w:val="00EE2A93"/>
    <w:rsid w:val="00F40136"/>
    <w:rsid w:val="00F53FC5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1810BFA"/>
  <w15:docId w15:val="{CE25FC83-9276-4A02-B7E9-11E5508A0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WKX3UHSAJ2R6-2-862204</_dlc_DocId>
    <_dlc_DocIdUrl xmlns="e60a29af-d413-48d4-bd90-fe9d2a897e4b">
      <Url>https://ovdmasv601/sites/DMS/_layouts/15/DocIdRedir.aspx?ID=WKX3UHSAJ2R6-2-862204</Url>
      <Description>WKX3UHSAJ2R6-2-862204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C7B2B9-D707-4816-BA2E-943012690F1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61C0B-AEE5-469F-B198-241B26A76D5C}"/>
</file>

<file path=customXml/itemProps4.xml><?xml version="1.0" encoding="utf-8"?>
<ds:datastoreItem xmlns:ds="http://schemas.openxmlformats.org/officeDocument/2006/customXml" ds:itemID="{C086DAEA-E8AB-4474-99C8-83F86D53BD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13682A-A981-4611-861F-47E65B9782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Kolesárová Jana</cp:lastModifiedBy>
  <cp:revision>10</cp:revision>
  <cp:lastPrinted>2018-06-19T06:55:00Z</cp:lastPrinted>
  <dcterms:created xsi:type="dcterms:W3CDTF">2018-06-12T15:58:00Z</dcterms:created>
  <dcterms:modified xsi:type="dcterms:W3CDTF">2018-07-04T10:09:00Z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03384959-3f40-448f-8112-e1cd1dfe58d1</vt:lpwstr>
  </property>
</Properties>
</file>